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1482"/>
      </w:tblGrid>
      <w:tr w:rsidR="00921B3E" w:rsidRPr="00921B3E" w:rsidTr="00921B3E">
        <w:trPr>
          <w:tblCellSpacing w:w="0" w:type="dxa"/>
        </w:trPr>
        <w:tc>
          <w:tcPr>
            <w:tcW w:w="8306" w:type="dxa"/>
            <w:vAlign w:val="center"/>
            <w:hideMark/>
          </w:tcPr>
          <w:tbl>
            <w:tblPr>
              <w:tblW w:w="9150" w:type="dxa"/>
              <w:tblCellSpacing w:w="0" w:type="dxa"/>
              <w:tblCellMar>
                <w:left w:w="0" w:type="dxa"/>
                <w:right w:w="0" w:type="dxa"/>
              </w:tblCellMar>
              <w:tblLook w:val="04A0"/>
            </w:tblPr>
            <w:tblGrid>
              <w:gridCol w:w="9150"/>
            </w:tblGrid>
            <w:tr w:rsidR="00921B3E" w:rsidRPr="00921B3E">
              <w:trPr>
                <w:trHeight w:val="450"/>
                <w:tblCellSpacing w:w="0" w:type="dxa"/>
              </w:trPr>
              <w:tc>
                <w:tcPr>
                  <w:tcW w:w="8850" w:type="dxa"/>
                  <w:vAlign w:val="center"/>
                  <w:hideMark/>
                </w:tcPr>
                <w:tbl>
                  <w:tblPr>
                    <w:tblW w:w="5000" w:type="pct"/>
                    <w:tblCellSpacing w:w="0" w:type="dxa"/>
                    <w:tblCellMar>
                      <w:left w:w="0" w:type="dxa"/>
                      <w:right w:w="0" w:type="dxa"/>
                    </w:tblCellMar>
                    <w:tblLook w:val="04A0"/>
                  </w:tblPr>
                  <w:tblGrid>
                    <w:gridCol w:w="9150"/>
                  </w:tblGrid>
                  <w:tr w:rsidR="00921B3E" w:rsidRPr="00921B3E">
                    <w:trPr>
                      <w:tblCellSpacing w:w="0" w:type="dxa"/>
                    </w:trPr>
                    <w:tc>
                      <w:tcPr>
                        <w:tcW w:w="0" w:type="auto"/>
                        <w:vAlign w:val="bottom"/>
                        <w:hideMark/>
                      </w:tcPr>
                      <w:p w:rsidR="00921B3E" w:rsidRDefault="00921B3E">
                        <w:r>
                          <w:rPr>
                            <w:rFonts w:ascii="Arial" w:hAnsi="Arial" w:cs="Arial"/>
                            <w:b/>
                            <w:bCs/>
                            <w:color w:val="333333"/>
                            <w:spacing w:val="15"/>
                            <w:sz w:val="23"/>
                            <w:szCs w:val="23"/>
                          </w:rPr>
                          <w:t>中船浴火重生</w:t>
                        </w:r>
                        <w:r>
                          <w:rPr>
                            <w:rFonts w:ascii="Arial" w:hAnsi="Arial" w:cs="Arial"/>
                            <w:b/>
                            <w:bCs/>
                            <w:color w:val="333333"/>
                            <w:spacing w:val="15"/>
                            <w:sz w:val="23"/>
                            <w:szCs w:val="23"/>
                          </w:rPr>
                          <w:t xml:space="preserve"> </w:t>
                        </w:r>
                        <w:r>
                          <w:rPr>
                            <w:rFonts w:ascii="Arial" w:hAnsi="Arial" w:cs="Arial"/>
                            <w:b/>
                            <w:bCs/>
                            <w:color w:val="333333"/>
                            <w:spacing w:val="15"/>
                            <w:sz w:val="23"/>
                            <w:szCs w:val="23"/>
                          </w:rPr>
                          <w:t>大傳出港，航向何方？</w:t>
                        </w:r>
                      </w:p>
                      <w:tbl>
                        <w:tblPr>
                          <w:tblW w:w="4778" w:type="pct"/>
                          <w:tblCellSpacing w:w="0" w:type="dxa"/>
                          <w:tblCellMar>
                            <w:left w:w="0" w:type="dxa"/>
                            <w:right w:w="0" w:type="dxa"/>
                          </w:tblCellMar>
                          <w:tblLook w:val="04A0"/>
                        </w:tblPr>
                        <w:tblGrid>
                          <w:gridCol w:w="8744"/>
                        </w:tblGrid>
                        <w:tr w:rsidR="00921B3E" w:rsidRPr="00921B3E" w:rsidTr="00B23192">
                          <w:trPr>
                            <w:trHeight w:val="288"/>
                            <w:tblCellSpacing w:w="0" w:type="dxa"/>
                          </w:trPr>
                          <w:tc>
                            <w:tcPr>
                              <w:tcW w:w="0" w:type="auto"/>
                              <w:vAlign w:val="center"/>
                              <w:hideMark/>
                            </w:tcPr>
                            <w:p w:rsidR="00921B3E" w:rsidRPr="00921B3E" w:rsidRDefault="00921B3E" w:rsidP="00921B3E">
                              <w:pPr>
                                <w:widowControl/>
                                <w:rPr>
                                  <w:rFonts w:ascii="新細明體" w:eastAsia="新細明體" w:hAnsi="新細明體" w:cs="新細明體"/>
                                  <w:kern w:val="0"/>
                                  <w:szCs w:val="24"/>
                                </w:rPr>
                              </w:pPr>
                              <w:r w:rsidRPr="00921B3E">
                                <w:rPr>
                                  <w:rFonts w:ascii="Arial" w:eastAsia="新細明體" w:hAnsi="Arial" w:cs="Arial"/>
                                  <w:color w:val="298BCE"/>
                                  <w:spacing w:val="15"/>
                                  <w:kern w:val="0"/>
                                  <w:sz w:val="20"/>
                                </w:rPr>
                                <w:t>遠見雜誌</w:t>
                              </w:r>
                              <w:r w:rsidRPr="00921B3E">
                                <w:rPr>
                                  <w:rFonts w:ascii="Arial" w:eastAsia="新細明體" w:hAnsi="Arial" w:cs="Arial"/>
                                  <w:color w:val="298BCE"/>
                                  <w:spacing w:val="15"/>
                                  <w:kern w:val="0"/>
                                  <w:sz w:val="20"/>
                                </w:rPr>
                                <w:t>2005</w:t>
                              </w:r>
                              <w:r w:rsidRPr="00921B3E">
                                <w:rPr>
                                  <w:rFonts w:ascii="Arial" w:eastAsia="新細明體" w:hAnsi="Arial" w:cs="Arial"/>
                                  <w:color w:val="298BCE"/>
                                  <w:spacing w:val="15"/>
                                  <w:kern w:val="0"/>
                                  <w:sz w:val="20"/>
                                </w:rPr>
                                <w:t>年</w:t>
                              </w:r>
                              <w:r w:rsidRPr="00921B3E">
                                <w:rPr>
                                  <w:rFonts w:ascii="Arial" w:eastAsia="新細明體" w:hAnsi="Arial" w:cs="Arial"/>
                                  <w:color w:val="298BCE"/>
                                  <w:spacing w:val="15"/>
                                  <w:kern w:val="0"/>
                                  <w:sz w:val="20"/>
                                </w:rPr>
                                <w:t>4</w:t>
                              </w:r>
                              <w:r w:rsidRPr="00921B3E">
                                <w:rPr>
                                  <w:rFonts w:ascii="Arial" w:eastAsia="新細明體" w:hAnsi="Arial" w:cs="Arial"/>
                                  <w:color w:val="298BCE"/>
                                  <w:spacing w:val="15"/>
                                  <w:kern w:val="0"/>
                                  <w:sz w:val="20"/>
                                </w:rPr>
                                <w:t>月號</w:t>
                              </w:r>
                              <w:r w:rsidRPr="00921B3E">
                                <w:rPr>
                                  <w:rFonts w:ascii="Arial" w:eastAsia="新細明體" w:hAnsi="Arial" w:cs="Arial"/>
                                  <w:color w:val="298BCE"/>
                                  <w:spacing w:val="15"/>
                                  <w:kern w:val="0"/>
                                  <w:sz w:val="20"/>
                                </w:rPr>
                                <w:t> </w:t>
                              </w:r>
                              <w:r w:rsidRPr="00921B3E">
                                <w:rPr>
                                  <w:rFonts w:ascii="Arial" w:eastAsia="新細明體" w:hAnsi="Arial" w:cs="Arial"/>
                                  <w:color w:val="298BCE"/>
                                  <w:spacing w:val="15"/>
                                  <w:kern w:val="0"/>
                                  <w:sz w:val="20"/>
                                </w:rPr>
                                <w:t>第</w:t>
                              </w:r>
                              <w:r w:rsidRPr="00921B3E">
                                <w:rPr>
                                  <w:rFonts w:ascii="Arial" w:eastAsia="新細明體" w:hAnsi="Arial" w:cs="Arial"/>
                                  <w:color w:val="298BCE"/>
                                  <w:spacing w:val="15"/>
                                  <w:kern w:val="0"/>
                                  <w:sz w:val="20"/>
                                </w:rPr>
                                <w:t>226</w:t>
                              </w:r>
                              <w:r w:rsidRPr="00921B3E">
                                <w:rPr>
                                  <w:rFonts w:ascii="Arial" w:eastAsia="新細明體" w:hAnsi="Arial" w:cs="Arial"/>
                                  <w:color w:val="298BCE"/>
                                  <w:spacing w:val="15"/>
                                  <w:kern w:val="0"/>
                                  <w:sz w:val="20"/>
                                </w:rPr>
                                <w:t>期</w:t>
                              </w:r>
                            </w:p>
                          </w:tc>
                        </w:tr>
                        <w:tr w:rsidR="00921B3E" w:rsidRPr="00921B3E" w:rsidTr="00B23192">
                          <w:trPr>
                            <w:trHeight w:val="431"/>
                            <w:tblCellSpacing w:w="0" w:type="dxa"/>
                          </w:trPr>
                          <w:tc>
                            <w:tcPr>
                              <w:tcW w:w="0" w:type="auto"/>
                              <w:vAlign w:val="center"/>
                              <w:hideMark/>
                            </w:tcPr>
                            <w:p w:rsidR="00921B3E" w:rsidRPr="00921B3E" w:rsidRDefault="00921B3E" w:rsidP="00921B3E">
                              <w:pPr>
                                <w:widowControl/>
                                <w:rPr>
                                  <w:rFonts w:ascii="新細明體" w:eastAsia="新細明體" w:hAnsi="新細明體" w:cs="新細明體"/>
                                  <w:kern w:val="0"/>
                                  <w:szCs w:val="24"/>
                                </w:rPr>
                              </w:pPr>
                              <w:r w:rsidRPr="00921B3E">
                                <w:rPr>
                                  <w:rFonts w:ascii="Arial" w:eastAsia="新細明體" w:hAnsi="Arial" w:cs="Arial"/>
                                  <w:color w:val="666666"/>
                                  <w:spacing w:val="15"/>
                                  <w:kern w:val="0"/>
                                  <w:sz w:val="20"/>
                                </w:rPr>
                                <w:t>作者：張經義</w:t>
                              </w:r>
                            </w:p>
                          </w:tc>
                        </w:tr>
                        <w:tr w:rsidR="00921B3E" w:rsidRPr="00921B3E" w:rsidTr="00B23192">
                          <w:trPr>
                            <w:trHeight w:val="288"/>
                            <w:tblCellSpacing w:w="0" w:type="dxa"/>
                          </w:trPr>
                          <w:tc>
                            <w:tcPr>
                              <w:tcW w:w="0" w:type="auto"/>
                              <w:vAlign w:val="center"/>
                              <w:hideMark/>
                            </w:tcPr>
                            <w:tbl>
                              <w:tblPr>
                                <w:tblW w:w="5000" w:type="pct"/>
                                <w:tblCellSpacing w:w="0" w:type="dxa"/>
                                <w:tblCellMar>
                                  <w:left w:w="0" w:type="dxa"/>
                                  <w:right w:w="0" w:type="dxa"/>
                                </w:tblCellMar>
                                <w:tblLook w:val="04A0"/>
                              </w:tblPr>
                              <w:tblGrid>
                                <w:gridCol w:w="8744"/>
                              </w:tblGrid>
                              <w:tr w:rsidR="00921B3E" w:rsidRPr="00921B3E" w:rsidTr="00B23192">
                                <w:trPr>
                                  <w:trHeight w:val="14"/>
                                  <w:tblCellSpacing w:w="0" w:type="dxa"/>
                                </w:trPr>
                                <w:tc>
                                  <w:tcPr>
                                    <w:tcW w:w="0" w:type="auto"/>
                                    <w:shd w:val="clear" w:color="auto" w:fill="CECECE"/>
                                    <w:vAlign w:val="center"/>
                                    <w:hideMark/>
                                  </w:tcPr>
                                  <w:p w:rsidR="00921B3E" w:rsidRPr="00921B3E" w:rsidRDefault="00921B3E" w:rsidP="00921B3E">
                                    <w:pPr>
                                      <w:widowControl/>
                                      <w:rPr>
                                        <w:rFonts w:ascii="新細明體" w:eastAsia="新細明體" w:hAnsi="新細明體" w:cs="新細明體"/>
                                        <w:kern w:val="0"/>
                                        <w:sz w:val="2"/>
                                        <w:szCs w:val="24"/>
                                      </w:rPr>
                                    </w:pPr>
                                  </w:p>
                                </w:tc>
                              </w:tr>
                            </w:tbl>
                            <w:p w:rsidR="00921B3E" w:rsidRPr="00921B3E" w:rsidRDefault="00921B3E" w:rsidP="00921B3E">
                              <w:pPr>
                                <w:widowControl/>
                                <w:rPr>
                                  <w:rFonts w:ascii="新細明體" w:eastAsia="新細明體" w:hAnsi="新細明體" w:cs="新細明體"/>
                                  <w:kern w:val="0"/>
                                  <w:szCs w:val="24"/>
                                </w:rPr>
                              </w:pPr>
                            </w:p>
                          </w:tc>
                        </w:tr>
                        <w:tr w:rsidR="00921B3E" w:rsidRPr="00921B3E" w:rsidTr="00B23192">
                          <w:trPr>
                            <w:trHeight w:val="1725"/>
                            <w:tblCellSpacing w:w="0" w:type="dxa"/>
                          </w:trPr>
                          <w:tc>
                            <w:tcPr>
                              <w:tcW w:w="0" w:type="auto"/>
                              <w:vAlign w:val="bottom"/>
                              <w:hideMark/>
                            </w:tcPr>
                            <w:p w:rsidR="00921B3E" w:rsidRPr="00921B3E" w:rsidRDefault="00921B3E" w:rsidP="00921B3E">
                              <w:pPr>
                                <w:widowControl/>
                                <w:rPr>
                                  <w:rFonts w:ascii="新細明體" w:eastAsia="新細明體" w:hAnsi="新細明體" w:cs="新細明體"/>
                                  <w:kern w:val="0"/>
                                  <w:szCs w:val="24"/>
                                </w:rPr>
                              </w:pPr>
                              <w:r w:rsidRPr="00921B3E">
                                <w:rPr>
                                  <w:rFonts w:ascii="Arial" w:eastAsia="新細明體" w:hAnsi="Arial" w:cs="Arial"/>
                                  <w:color w:val="999999"/>
                                  <w:spacing w:val="15"/>
                                  <w:kern w:val="0"/>
                                  <w:sz w:val="23"/>
                                </w:rPr>
                                <w:t>經歷艱辛的再生，中船重返全球第四大。</w:t>
                              </w:r>
                              <w:r w:rsidRPr="00921B3E">
                                <w:rPr>
                                  <w:rFonts w:ascii="Arial" w:eastAsia="新細明體" w:hAnsi="Arial" w:cs="Arial"/>
                                  <w:color w:val="999999"/>
                                  <w:spacing w:val="15"/>
                                  <w:kern w:val="0"/>
                                  <w:sz w:val="23"/>
                                  <w:szCs w:val="23"/>
                                </w:rPr>
                                <w:br/>
                              </w:r>
                              <w:r w:rsidRPr="00921B3E">
                                <w:rPr>
                                  <w:rFonts w:ascii="Arial" w:eastAsia="新細明體" w:hAnsi="Arial" w:cs="Arial"/>
                                  <w:color w:val="999999"/>
                                  <w:spacing w:val="15"/>
                                  <w:kern w:val="0"/>
                                  <w:sz w:val="23"/>
                                </w:rPr>
                                <w:t>然而，巨額匯差與鋼材飆漲大浪卻猛然襲來，</w:t>
                              </w:r>
                              <w:r w:rsidRPr="00921B3E">
                                <w:rPr>
                                  <w:rFonts w:ascii="Arial" w:eastAsia="新細明體" w:hAnsi="Arial" w:cs="Arial"/>
                                  <w:color w:val="999999"/>
                                  <w:spacing w:val="15"/>
                                  <w:kern w:val="0"/>
                                  <w:sz w:val="23"/>
                                  <w:szCs w:val="23"/>
                                </w:rPr>
                                <w:br/>
                              </w:r>
                              <w:r w:rsidRPr="00921B3E">
                                <w:rPr>
                                  <w:rFonts w:ascii="Arial" w:eastAsia="新細明體" w:hAnsi="Arial" w:cs="Arial"/>
                                  <w:color w:val="999999"/>
                                  <w:spacing w:val="15"/>
                                  <w:kern w:val="0"/>
                                  <w:sz w:val="23"/>
                                </w:rPr>
                                <w:t>三年來好不容易積攢的盈餘又將付諸流水。</w:t>
                              </w:r>
                              <w:r w:rsidRPr="00921B3E">
                                <w:rPr>
                                  <w:rFonts w:ascii="Arial" w:eastAsia="新細明體" w:hAnsi="Arial" w:cs="Arial"/>
                                  <w:color w:val="999999"/>
                                  <w:spacing w:val="15"/>
                                  <w:kern w:val="0"/>
                                  <w:sz w:val="23"/>
                                  <w:szCs w:val="23"/>
                                </w:rPr>
                                <w:br/>
                              </w:r>
                              <w:r w:rsidRPr="00921B3E">
                                <w:rPr>
                                  <w:rFonts w:ascii="Arial" w:eastAsia="新細明體" w:hAnsi="Arial" w:cs="Arial"/>
                                  <w:color w:val="999999"/>
                                  <w:spacing w:val="15"/>
                                  <w:kern w:val="0"/>
                                  <w:sz w:val="23"/>
                                </w:rPr>
                                <w:t>在景氣波動與政策反覆的近憂遠慮下，</w:t>
                              </w:r>
                              <w:r w:rsidRPr="00921B3E">
                                <w:rPr>
                                  <w:rFonts w:ascii="Arial" w:eastAsia="新細明體" w:hAnsi="Arial" w:cs="Arial"/>
                                  <w:color w:val="999999"/>
                                  <w:spacing w:val="15"/>
                                  <w:kern w:val="0"/>
                                  <w:sz w:val="23"/>
                                  <w:szCs w:val="23"/>
                                </w:rPr>
                                <w:br/>
                              </w:r>
                              <w:r w:rsidRPr="00921B3E">
                                <w:rPr>
                                  <w:rFonts w:ascii="Arial" w:eastAsia="新細明體" w:hAnsi="Arial" w:cs="Arial"/>
                                  <w:color w:val="999999"/>
                                  <w:spacing w:val="15"/>
                                  <w:kern w:val="0"/>
                                  <w:sz w:val="23"/>
                                </w:rPr>
                                <w:t>中船民營化仍面臨重重考驗。</w:t>
                              </w:r>
                            </w:p>
                          </w:tc>
                        </w:tr>
                      </w:tbl>
                      <w:p w:rsidR="00921B3E" w:rsidRPr="00921B3E" w:rsidRDefault="00921B3E" w:rsidP="00921B3E">
                        <w:pPr>
                          <w:widowControl/>
                          <w:rPr>
                            <w:rFonts w:ascii="新細明體" w:eastAsia="新細明體" w:hAnsi="新細明體" w:cs="新細明體"/>
                            <w:kern w:val="0"/>
                            <w:szCs w:val="24"/>
                          </w:rPr>
                        </w:pPr>
                      </w:p>
                    </w:tc>
                  </w:tr>
                </w:tbl>
                <w:p w:rsidR="00921B3E" w:rsidRPr="00921B3E" w:rsidRDefault="00921B3E" w:rsidP="00921B3E">
                  <w:pPr>
                    <w:widowControl/>
                    <w:rPr>
                      <w:rFonts w:ascii="新細明體" w:eastAsia="新細明體" w:hAnsi="新細明體" w:cs="新細明體"/>
                      <w:kern w:val="0"/>
                      <w:szCs w:val="24"/>
                    </w:rPr>
                  </w:pPr>
                </w:p>
              </w:tc>
            </w:tr>
          </w:tbl>
          <w:p w:rsidR="00921B3E" w:rsidRPr="00921B3E" w:rsidRDefault="00921B3E" w:rsidP="00921B3E">
            <w:pPr>
              <w:widowControl/>
              <w:rPr>
                <w:rFonts w:ascii="新細明體" w:eastAsia="新細明體" w:hAnsi="新細明體" w:cs="新細明體"/>
                <w:kern w:val="0"/>
                <w:szCs w:val="24"/>
              </w:rPr>
            </w:pPr>
          </w:p>
        </w:tc>
      </w:tr>
      <w:tr w:rsidR="00921B3E" w:rsidRPr="00921B3E">
        <w:trPr>
          <w:trHeight w:val="150"/>
          <w:tblCellSpacing w:w="0" w:type="dxa"/>
        </w:trPr>
        <w:tc>
          <w:tcPr>
            <w:tcW w:w="0" w:type="auto"/>
            <w:vAlign w:val="center"/>
            <w:hideMark/>
          </w:tcPr>
          <w:p w:rsidR="00921B3E" w:rsidRPr="00921B3E" w:rsidRDefault="00921B3E" w:rsidP="00921B3E">
            <w:pPr>
              <w:widowControl/>
              <w:rPr>
                <w:rFonts w:ascii="新細明體" w:eastAsia="新細明體" w:hAnsi="新細明體" w:cs="新細明體"/>
                <w:kern w:val="0"/>
                <w:sz w:val="16"/>
                <w:szCs w:val="24"/>
              </w:rPr>
            </w:pPr>
          </w:p>
        </w:tc>
      </w:tr>
      <w:tr w:rsidR="00921B3E" w:rsidRPr="00921B3E">
        <w:trPr>
          <w:tblCellSpacing w:w="0" w:type="dxa"/>
        </w:trPr>
        <w:tc>
          <w:tcPr>
            <w:tcW w:w="0" w:type="auto"/>
            <w:hideMark/>
          </w:tcPr>
          <w:tbl>
            <w:tblPr>
              <w:tblW w:w="11482" w:type="dxa"/>
              <w:tblCellSpacing w:w="0" w:type="dxa"/>
              <w:tblCellMar>
                <w:left w:w="0" w:type="dxa"/>
                <w:right w:w="0" w:type="dxa"/>
              </w:tblCellMar>
              <w:tblLook w:val="04A0"/>
            </w:tblPr>
            <w:tblGrid>
              <w:gridCol w:w="142"/>
              <w:gridCol w:w="11340"/>
            </w:tblGrid>
            <w:tr w:rsidR="00921B3E" w:rsidRPr="00921B3E" w:rsidTr="0043453D">
              <w:trPr>
                <w:tblCellSpacing w:w="0" w:type="dxa"/>
              </w:trPr>
              <w:tc>
                <w:tcPr>
                  <w:tcW w:w="142" w:type="dxa"/>
                  <w:vAlign w:val="center"/>
                  <w:hideMark/>
                </w:tcPr>
                <w:p w:rsidR="00921B3E" w:rsidRPr="00921B3E" w:rsidRDefault="00921B3E" w:rsidP="00921B3E">
                  <w:pPr>
                    <w:widowControl/>
                    <w:rPr>
                      <w:rFonts w:ascii="新細明體" w:eastAsia="新細明體" w:hAnsi="新細明體" w:cs="新細明體"/>
                      <w:kern w:val="0"/>
                      <w:szCs w:val="24"/>
                    </w:rPr>
                  </w:pPr>
                  <w:r w:rsidRPr="00921B3E">
                    <w:rPr>
                      <w:rFonts w:ascii="新細明體" w:eastAsia="新細明體" w:hAnsi="新細明體" w:cs="新細明體"/>
                      <w:kern w:val="0"/>
                      <w:szCs w:val="24"/>
                    </w:rPr>
                    <w:t> </w:t>
                  </w:r>
                </w:p>
              </w:tc>
              <w:tc>
                <w:tcPr>
                  <w:tcW w:w="11340" w:type="dxa"/>
                  <w:vAlign w:val="center"/>
                  <w:hideMark/>
                </w:tcPr>
                <w:p w:rsidR="00921B3E" w:rsidRPr="00921B3E" w:rsidRDefault="00921B3E" w:rsidP="00B23192">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2</w:t>
                  </w:r>
                  <w:r w:rsidRPr="00921B3E">
                    <w:rPr>
                      <w:rFonts w:ascii="Arial" w:eastAsia="新細明體" w:hAnsi="Arial" w:cs="Arial"/>
                      <w:color w:val="333333"/>
                      <w:spacing w:val="15"/>
                      <w:kern w:val="0"/>
                      <w:sz w:val="23"/>
                      <w:szCs w:val="23"/>
                    </w:rPr>
                    <w:t>月</w:t>
                  </w:r>
                  <w:r w:rsidRPr="00921B3E">
                    <w:rPr>
                      <w:rFonts w:ascii="Arial" w:eastAsia="新細明體" w:hAnsi="Arial" w:cs="Arial"/>
                      <w:color w:val="333333"/>
                      <w:spacing w:val="15"/>
                      <w:kern w:val="0"/>
                      <w:sz w:val="23"/>
                      <w:szCs w:val="23"/>
                    </w:rPr>
                    <w:t>25</w:t>
                  </w:r>
                  <w:r w:rsidRPr="00921B3E">
                    <w:rPr>
                      <w:rFonts w:ascii="Arial" w:eastAsia="新細明體" w:hAnsi="Arial" w:cs="Arial"/>
                      <w:color w:val="333333"/>
                      <w:spacing w:val="15"/>
                      <w:kern w:val="0"/>
                      <w:sz w:val="23"/>
                      <w:szCs w:val="23"/>
                    </w:rPr>
                    <w:t>日對中船來說是值得紀念的一天，這是中船有史以來第一次同時交兩艘船，兩艘海上長城般的巨型貨櫃輪靜靜地停泊在高雄港邊。</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不巧的是，冬日幾乎不雨的南台灣，降下了豪雨，穿著褪色制服的員工們，無視天候，在大雨中忙碌地穿梭。儘管天氣不好，可他們的心是熱的，因為過去好長一段時間，中船未曾提前交船，更未接單滿檔，這是老天的眷顧，大伙忙得起勁。</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來到</w:t>
                  </w:r>
                  <w:r w:rsidRPr="00921B3E">
                    <w:rPr>
                      <w:rFonts w:ascii="Arial" w:eastAsia="新細明體" w:hAnsi="Arial" w:cs="Arial"/>
                      <w:color w:val="333333"/>
                      <w:spacing w:val="15"/>
                      <w:kern w:val="0"/>
                      <w:sz w:val="23"/>
                      <w:szCs w:val="23"/>
                    </w:rPr>
                    <w:t>3</w:t>
                  </w:r>
                  <w:r w:rsidRPr="00921B3E">
                    <w:rPr>
                      <w:rFonts w:ascii="Arial" w:eastAsia="新細明體" w:hAnsi="Arial" w:cs="Arial"/>
                      <w:color w:val="333333"/>
                      <w:spacing w:val="15"/>
                      <w:kern w:val="0"/>
                      <w:sz w:val="23"/>
                      <w:szCs w:val="23"/>
                    </w:rPr>
                    <w:t>月的中船基隆廠。一向陰雨綿綿的基隆，這天卻異常地出現近三十度高溫。因為</w:t>
                  </w:r>
                  <w:r w:rsidRPr="00921B3E">
                    <w:rPr>
                      <w:rFonts w:ascii="Arial" w:eastAsia="新細明體" w:hAnsi="Arial" w:cs="Arial"/>
                      <w:color w:val="333333"/>
                      <w:spacing w:val="15"/>
                      <w:kern w:val="0"/>
                      <w:sz w:val="23"/>
                      <w:szCs w:val="23"/>
                    </w:rPr>
                    <w:t>3</w:t>
                  </w:r>
                  <w:r w:rsidRPr="00921B3E">
                    <w:rPr>
                      <w:rFonts w:ascii="Arial" w:eastAsia="新細明體" w:hAnsi="Arial" w:cs="Arial"/>
                      <w:color w:val="333333"/>
                      <w:spacing w:val="15"/>
                      <w:kern w:val="0"/>
                      <w:sz w:val="23"/>
                      <w:szCs w:val="23"/>
                    </w:rPr>
                    <w:t>月底就要交船給陽明海運，員工趁著難得的晴天，無視周遭高溫、噪音與滾滾沙塵賣力地工作。</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在中船工作已三十八年，月薪新台幣</w:t>
                  </w:r>
                  <w:r w:rsidRPr="00921B3E">
                    <w:rPr>
                      <w:rFonts w:ascii="Arial" w:eastAsia="新細明體" w:hAnsi="Arial" w:cs="Arial"/>
                      <w:color w:val="333333"/>
                      <w:spacing w:val="15"/>
                      <w:kern w:val="0"/>
                      <w:sz w:val="23"/>
                      <w:szCs w:val="23"/>
                    </w:rPr>
                    <w:t>5</w:t>
                  </w:r>
                  <w:r w:rsidRPr="00921B3E">
                    <w:rPr>
                      <w:rFonts w:ascii="Arial" w:eastAsia="新細明體" w:hAnsi="Arial" w:cs="Arial"/>
                      <w:color w:val="333333"/>
                      <w:spacing w:val="15"/>
                      <w:kern w:val="0"/>
                      <w:sz w:val="23"/>
                      <w:szCs w:val="23"/>
                    </w:rPr>
                    <w:t>萬</w:t>
                  </w:r>
                  <w:r w:rsidRPr="00921B3E">
                    <w:rPr>
                      <w:rFonts w:ascii="Arial" w:eastAsia="新細明體" w:hAnsi="Arial" w:cs="Arial"/>
                      <w:color w:val="333333"/>
                      <w:spacing w:val="15"/>
                      <w:kern w:val="0"/>
                      <w:sz w:val="23"/>
                      <w:szCs w:val="23"/>
                    </w:rPr>
                    <w:t>4000</w:t>
                  </w:r>
                  <w:r w:rsidRPr="00921B3E">
                    <w:rPr>
                      <w:rFonts w:ascii="Arial" w:eastAsia="新細明體" w:hAnsi="Arial" w:cs="Arial"/>
                      <w:color w:val="333333"/>
                      <w:spacing w:val="15"/>
                      <w:kern w:val="0"/>
                      <w:sz w:val="23"/>
                      <w:szCs w:val="23"/>
                    </w:rPr>
                    <w:t>元的內業工廠領班林守田，帶領的是基隆廠最大的一班（內業工廠），正仔細看緊最複雜的船尾加工程序。這些年天天工作超過十二個小時還不支加班費，他無怨無悔，「現在景氣好，多努力點沒關係，我相信中船很快就會恢復過去的榮景，」他布</w:t>
                  </w:r>
                  <w:r w:rsidRPr="00921B3E">
                    <w:rPr>
                      <w:rFonts w:ascii="Arial" w:eastAsia="新細明體" w:hAnsi="Arial" w:cs="Arial"/>
                      <w:color w:val="333333"/>
                      <w:spacing w:val="15"/>
                      <w:kern w:val="0"/>
                      <w:sz w:val="23"/>
                      <w:szCs w:val="23"/>
                    </w:rPr>
                    <w:lastRenderedPageBreak/>
                    <w:t>滿皺紋的黝黑臉上露出希望的笑容。</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成立於</w:t>
                  </w:r>
                  <w:r w:rsidRPr="00921B3E">
                    <w:rPr>
                      <w:rFonts w:ascii="Arial" w:eastAsia="新細明體" w:hAnsi="Arial" w:cs="Arial"/>
                      <w:color w:val="333333"/>
                      <w:spacing w:val="15"/>
                      <w:kern w:val="0"/>
                      <w:sz w:val="23"/>
                      <w:szCs w:val="23"/>
                    </w:rPr>
                    <w:t>1976</w:t>
                  </w:r>
                  <w:r w:rsidRPr="00921B3E">
                    <w:rPr>
                      <w:rFonts w:ascii="Arial" w:eastAsia="新細明體" w:hAnsi="Arial" w:cs="Arial"/>
                      <w:color w:val="333333"/>
                      <w:spacing w:val="15"/>
                      <w:kern w:val="0"/>
                      <w:sz w:val="23"/>
                      <w:szCs w:val="23"/>
                    </w:rPr>
                    <w:t>年的中船，在</w:t>
                  </w:r>
                  <w:r w:rsidRPr="00921B3E">
                    <w:rPr>
                      <w:rFonts w:ascii="Arial" w:eastAsia="新細明體" w:hAnsi="Arial" w:cs="Arial"/>
                      <w:color w:val="333333"/>
                      <w:spacing w:val="15"/>
                      <w:kern w:val="0"/>
                      <w:sz w:val="23"/>
                      <w:szCs w:val="23"/>
                    </w:rPr>
                    <w:t>1990</w:t>
                  </w:r>
                  <w:r w:rsidRPr="00921B3E">
                    <w:rPr>
                      <w:rFonts w:ascii="Arial" w:eastAsia="新細明體" w:hAnsi="Arial" w:cs="Arial"/>
                      <w:color w:val="333333"/>
                      <w:spacing w:val="15"/>
                      <w:kern w:val="0"/>
                      <w:sz w:val="23"/>
                      <w:szCs w:val="23"/>
                    </w:rPr>
                    <w:t>年代船運大好時，年年營收都在</w:t>
                  </w:r>
                  <w:r w:rsidRPr="00921B3E">
                    <w:rPr>
                      <w:rFonts w:ascii="Arial" w:eastAsia="新細明體" w:hAnsi="Arial" w:cs="Arial"/>
                      <w:color w:val="333333"/>
                      <w:spacing w:val="15"/>
                      <w:kern w:val="0"/>
                      <w:sz w:val="23"/>
                      <w:szCs w:val="23"/>
                    </w:rPr>
                    <w:t>200</w:t>
                  </w:r>
                  <w:r w:rsidRPr="00921B3E">
                    <w:rPr>
                      <w:rFonts w:ascii="Arial" w:eastAsia="新細明體" w:hAnsi="Arial" w:cs="Arial"/>
                      <w:color w:val="333333"/>
                      <w:spacing w:val="15"/>
                      <w:kern w:val="0"/>
                      <w:sz w:val="23"/>
                      <w:szCs w:val="23"/>
                    </w:rPr>
                    <w:t>億元上下。但在遭亞洲金融風暴波及後，營收慘跌四分之一，兩年前才開始緩步回升。</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「中船員工比任何國營事業的員工都還苦命，」進中船二十五年，看盡興衰的中船行政室公關課課長王先至強調，「但我們卻更『韌』命。」</w:t>
                  </w:r>
                </w:p>
                <w:p w:rsidR="00921B3E" w:rsidRPr="00921B3E" w:rsidRDefault="00921B3E" w:rsidP="00921B3E">
                  <w:pPr>
                    <w:widowControl/>
                    <w:spacing w:line="300" w:lineRule="atLeast"/>
                    <w:rPr>
                      <w:rFonts w:ascii="Arial" w:eastAsia="新細明體" w:hAnsi="Arial" w:cs="Arial"/>
                      <w:color w:val="333333"/>
                      <w:spacing w:val="15"/>
                      <w:kern w:val="0"/>
                      <w:sz w:val="20"/>
                      <w:szCs w:val="20"/>
                    </w:rPr>
                  </w:pPr>
                  <w:r w:rsidRPr="00921B3E">
                    <w:rPr>
                      <w:rFonts w:ascii="Arial" w:eastAsia="新細明體" w:hAnsi="Arial" w:cs="Arial"/>
                      <w:color w:val="333333"/>
                      <w:spacing w:val="15"/>
                      <w:kern w:val="0"/>
                      <w:sz w:val="20"/>
                      <w:szCs w:val="20"/>
                    </w:rPr>
                    <w:br/>
                  </w:r>
                  <w:r w:rsidRPr="00921B3E">
                    <w:rPr>
                      <w:rFonts w:ascii="Arial" w:eastAsia="新細明體" w:hAnsi="Arial" w:cs="Arial"/>
                      <w:b/>
                      <w:bCs/>
                      <w:color w:val="333333"/>
                      <w:spacing w:val="15"/>
                      <w:kern w:val="0"/>
                      <w:sz w:val="23"/>
                      <w:szCs w:val="23"/>
                    </w:rPr>
                    <w:t>中船是苦孩子，不是壞孩子</w:t>
                  </w:r>
                  <w:r w:rsidRPr="00921B3E">
                    <w:rPr>
                      <w:rFonts w:ascii="Arial" w:eastAsia="新細明體" w:hAnsi="Arial" w:cs="Arial"/>
                      <w:color w:val="333333"/>
                      <w:spacing w:val="15"/>
                      <w:kern w:val="0"/>
                      <w:sz w:val="20"/>
                      <w:szCs w:val="20"/>
                    </w:rPr>
                    <w:t xml:space="preserve"> </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中鋼與中船總公司都坐落於中鋼路上。從高雄的大動脈中山路轉進中鋼路時，「中國鋼鐵」與「中國造船」的招牌聳立路口，「倒過來看，就是『鐵鋼國中』跟『船造國中』，但兩所國中的升學率真是天壤之別，」去年</w:t>
                  </w:r>
                  <w:r w:rsidRPr="00921B3E">
                    <w:rPr>
                      <w:rFonts w:ascii="Arial" w:eastAsia="新細明體" w:hAnsi="Arial" w:cs="Arial"/>
                      <w:color w:val="333333"/>
                      <w:spacing w:val="15"/>
                      <w:kern w:val="0"/>
                      <w:sz w:val="23"/>
                      <w:szCs w:val="23"/>
                    </w:rPr>
                    <w:t>7</w:t>
                  </w:r>
                  <w:r w:rsidRPr="00921B3E">
                    <w:rPr>
                      <w:rFonts w:ascii="Arial" w:eastAsia="新細明體" w:hAnsi="Arial" w:cs="Arial"/>
                      <w:color w:val="333333"/>
                      <w:spacing w:val="15"/>
                      <w:kern w:val="0"/>
                      <w:sz w:val="23"/>
                      <w:szCs w:val="23"/>
                    </w:rPr>
                    <w:t>月才卸任的中船前董事長徐強苦笑著，儘管爹不疼、娘不愛，「但中船是苦孩子，不是壞孩子，希望有一天能成為爭氣的孩子，」這是他三年前從成功大學借調中船當董事長後，一直掛在嘴邊的話。</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提到</w:t>
                  </w:r>
                  <w:r w:rsidRPr="00921B3E">
                    <w:rPr>
                      <w:rFonts w:ascii="Arial" w:eastAsia="新細明體" w:hAnsi="Arial" w:cs="Arial"/>
                      <w:color w:val="333333"/>
                      <w:spacing w:val="15"/>
                      <w:kern w:val="0"/>
                      <w:sz w:val="23"/>
                      <w:szCs w:val="23"/>
                    </w:rPr>
                    <w:t>2001</w:t>
                  </w:r>
                  <w:r w:rsidRPr="00921B3E">
                    <w:rPr>
                      <w:rFonts w:ascii="Arial" w:eastAsia="新細明體" w:hAnsi="Arial" w:cs="Arial"/>
                      <w:color w:val="333333"/>
                      <w:spacing w:val="15"/>
                      <w:kern w:val="0"/>
                      <w:sz w:val="23"/>
                      <w:szCs w:val="23"/>
                    </w:rPr>
                    <w:t>年最後一天開始執行的「再生計畫」，徐強說只能用「悲壯」兩個字形容。再生計畫開始前三年，中船累計虧損</w:t>
                  </w:r>
                  <w:r w:rsidRPr="00921B3E">
                    <w:rPr>
                      <w:rFonts w:ascii="Arial" w:eastAsia="新細明體" w:hAnsi="Arial" w:cs="Arial"/>
                      <w:color w:val="333333"/>
                      <w:spacing w:val="15"/>
                      <w:kern w:val="0"/>
                      <w:sz w:val="23"/>
                      <w:szCs w:val="23"/>
                    </w:rPr>
                    <w:t>110</w:t>
                  </w:r>
                  <w:r w:rsidRPr="00921B3E">
                    <w:rPr>
                      <w:rFonts w:ascii="Arial" w:eastAsia="新細明體" w:hAnsi="Arial" w:cs="Arial"/>
                      <w:color w:val="333333"/>
                      <w:spacing w:val="15"/>
                      <w:kern w:val="0"/>
                      <w:sz w:val="23"/>
                      <w:szCs w:val="23"/>
                    </w:rPr>
                    <w:t>億元，僅</w:t>
                  </w:r>
                  <w:r w:rsidRPr="00921B3E">
                    <w:rPr>
                      <w:rFonts w:ascii="Arial" w:eastAsia="新細明體" w:hAnsi="Arial" w:cs="Arial"/>
                      <w:color w:val="333333"/>
                      <w:spacing w:val="15"/>
                      <w:kern w:val="0"/>
                      <w:sz w:val="23"/>
                      <w:szCs w:val="23"/>
                    </w:rPr>
                    <w:t>111</w:t>
                  </w:r>
                  <w:r w:rsidRPr="00921B3E">
                    <w:rPr>
                      <w:rFonts w:ascii="Arial" w:eastAsia="新細明體" w:hAnsi="Arial" w:cs="Arial"/>
                      <w:color w:val="333333"/>
                      <w:spacing w:val="15"/>
                      <w:kern w:val="0"/>
                      <w:sz w:val="23"/>
                      <w:szCs w:val="23"/>
                    </w:rPr>
                    <w:t>億元的資本額幾乎用罄，銀行拒絕融資，員工薪資發不出來，中船差點成為第一個破產倒閉的國營事業。</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因此，當時經濟部對中船下了「再生計畫」一劑猛藥，裁員</w:t>
                  </w:r>
                  <w:r w:rsidRPr="00921B3E">
                    <w:rPr>
                      <w:rFonts w:ascii="Arial" w:eastAsia="新細明體" w:hAnsi="Arial" w:cs="Arial"/>
                      <w:color w:val="333333"/>
                      <w:spacing w:val="15"/>
                      <w:kern w:val="0"/>
                      <w:sz w:val="23"/>
                      <w:szCs w:val="23"/>
                    </w:rPr>
                    <w:t>47</w:t>
                  </w:r>
                  <w:r w:rsidRPr="00921B3E">
                    <w:rPr>
                      <w:rFonts w:ascii="Arial" w:eastAsia="新細明體" w:hAnsi="Arial" w:cs="Arial"/>
                      <w:color w:val="333333"/>
                      <w:spacing w:val="15"/>
                      <w:kern w:val="0"/>
                      <w:sz w:val="23"/>
                      <w:szCs w:val="23"/>
                    </w:rPr>
                    <w:t>％，超過兩千三百人，而留下的人全減薪</w:t>
                  </w:r>
                  <w:r w:rsidRPr="00921B3E">
                    <w:rPr>
                      <w:rFonts w:ascii="Arial" w:eastAsia="新細明體" w:hAnsi="Arial" w:cs="Arial"/>
                      <w:color w:val="333333"/>
                      <w:spacing w:val="15"/>
                      <w:kern w:val="0"/>
                      <w:sz w:val="23"/>
                      <w:szCs w:val="23"/>
                    </w:rPr>
                    <w:t>35</w:t>
                  </w:r>
                  <w:r w:rsidRPr="00921B3E">
                    <w:rPr>
                      <w:rFonts w:ascii="Arial" w:eastAsia="新細明體" w:hAnsi="Arial" w:cs="Arial"/>
                      <w:color w:val="333333"/>
                      <w:spacing w:val="15"/>
                      <w:kern w:val="0"/>
                      <w:sz w:val="23"/>
                      <w:szCs w:val="23"/>
                    </w:rPr>
                    <w:t>％，創下國營事業紀錄。</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lastRenderedPageBreak/>
                    <w:t>     </w:t>
                  </w:r>
                  <w:r w:rsidRPr="00921B3E">
                    <w:rPr>
                      <w:rFonts w:ascii="Arial" w:eastAsia="新細明體" w:hAnsi="Arial" w:cs="Arial"/>
                      <w:color w:val="333333"/>
                      <w:spacing w:val="15"/>
                      <w:kern w:val="0"/>
                      <w:sz w:val="23"/>
                      <w:szCs w:val="23"/>
                    </w:rPr>
                    <w:t>是以，當時幾乎沒人看好這項計畫。有監察委員公開表示，中船一筆爛帳，早該關門，不必再生，否則只是浪費公帑；經濟部國營事業委員會也下達，兩年內若無大幅改善，即要勒令關廠；連中船員工本身都認為再生難如登天，甚至戲稱「再生計畫」是「往生計畫」。</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儘管人事成本一舉由</w:t>
                  </w:r>
                  <w:r w:rsidRPr="00921B3E">
                    <w:rPr>
                      <w:rFonts w:ascii="Arial" w:eastAsia="新細明體" w:hAnsi="Arial" w:cs="Arial"/>
                      <w:color w:val="333333"/>
                      <w:spacing w:val="15"/>
                      <w:kern w:val="0"/>
                      <w:sz w:val="23"/>
                      <w:szCs w:val="23"/>
                    </w:rPr>
                    <w:t>42</w:t>
                  </w:r>
                  <w:r w:rsidRPr="00921B3E">
                    <w:rPr>
                      <w:rFonts w:ascii="Arial" w:eastAsia="新細明體" w:hAnsi="Arial" w:cs="Arial"/>
                      <w:color w:val="333333"/>
                      <w:spacing w:val="15"/>
                      <w:kern w:val="0"/>
                      <w:sz w:val="23"/>
                      <w:szCs w:val="23"/>
                    </w:rPr>
                    <w:t>％降到</w:t>
                  </w:r>
                  <w:r w:rsidRPr="00921B3E">
                    <w:rPr>
                      <w:rFonts w:ascii="Arial" w:eastAsia="新細明體" w:hAnsi="Arial" w:cs="Arial"/>
                      <w:color w:val="333333"/>
                      <w:spacing w:val="15"/>
                      <w:kern w:val="0"/>
                      <w:sz w:val="23"/>
                      <w:szCs w:val="23"/>
                    </w:rPr>
                    <w:t>15</w:t>
                  </w:r>
                  <w:r w:rsidRPr="00921B3E">
                    <w:rPr>
                      <w:rFonts w:ascii="Arial" w:eastAsia="新細明體" w:hAnsi="Arial" w:cs="Arial"/>
                      <w:color w:val="333333"/>
                      <w:spacing w:val="15"/>
                      <w:kern w:val="0"/>
                      <w:sz w:val="23"/>
                      <w:szCs w:val="23"/>
                    </w:rPr>
                    <w:t>％，但看不見未來的員工，人心渙散。原是一介教授的徐強，在前經濟部長林信義的請託下，接下了中船董事長這燙手山芋。堅持「要握到每一個中船員工的手，要走遍中船每一個角落」的徐強，上任第一步就是提振士氣。</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上班第一天起就站在門口送員工下班，下班時會坐在喝悶酒的員工旁聽他們傾吐心事，甚至還和他們抱頭痛哭，就這樣一步步凝聚起中船員工的向心力。他更周旋在軍方與海外客戶間，為中船爭取到大批訂單，讓中船在短短一年內轉虧為盈。</w:t>
                  </w:r>
                  <w:r w:rsidRPr="00921B3E">
                    <w:rPr>
                      <w:rFonts w:ascii="Arial" w:eastAsia="新細明體" w:hAnsi="Arial" w:cs="Arial"/>
                      <w:color w:val="333333"/>
                      <w:spacing w:val="15"/>
                      <w:kern w:val="0"/>
                      <w:sz w:val="23"/>
                      <w:szCs w:val="23"/>
                    </w:rPr>
                    <w:t xml:space="preserve"> </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民營化是目標，企業化才是實質，」徐強拿出工業管理的看家本領，列出十六字箴言，「按圖施工，照表推程，嚴格控管，」若是做不好，那就「提頭來見」，他甚至真的送基隆廠和高雄廠的領導者一人一把寶劍，以示提升品質與掌控成本的決心。</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中船因而蛻變，連陽明海運董事長盧峰海都誇說：「中船不僅能準時交船，甚至可以提前，重要的是，品質不打折扣，」陽明更因此與中船進一步洽談製造超大型貨櫃輪的可能性。</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中船更幸運地碰上難得的海運景氣回升，不僅海內外訂單紛至，連日本廠商都主動接觸，現今中船的訂單已經滿載到</w:t>
                  </w:r>
                  <w:r w:rsidRPr="00921B3E">
                    <w:rPr>
                      <w:rFonts w:ascii="Arial" w:eastAsia="新細明體" w:hAnsi="Arial" w:cs="Arial"/>
                      <w:color w:val="333333"/>
                      <w:spacing w:val="15"/>
                      <w:kern w:val="0"/>
                      <w:sz w:val="23"/>
                      <w:szCs w:val="23"/>
                    </w:rPr>
                    <w:t>2009</w:t>
                  </w:r>
                  <w:r w:rsidRPr="00921B3E">
                    <w:rPr>
                      <w:rFonts w:ascii="Arial" w:eastAsia="新細明體" w:hAnsi="Arial" w:cs="Arial"/>
                      <w:color w:val="333333"/>
                      <w:spacing w:val="15"/>
                      <w:kern w:val="0"/>
                      <w:sz w:val="23"/>
                      <w:szCs w:val="23"/>
                    </w:rPr>
                    <w:t>年，創下歷史紀錄。中船董事李銘傳驕傲地說：「從去年接單累積的噸數來看，中船已經從世界第八重返第四，僅次韓國、日本、大陸，」這是當時差點面臨關廠命運的他所意想不到的（見頁</w:t>
                  </w:r>
                  <w:r w:rsidRPr="00921B3E">
                    <w:rPr>
                      <w:rFonts w:ascii="Arial" w:eastAsia="新細明體" w:hAnsi="Arial" w:cs="Arial"/>
                      <w:color w:val="333333"/>
                      <w:spacing w:val="15"/>
                      <w:kern w:val="0"/>
                      <w:sz w:val="23"/>
                      <w:szCs w:val="23"/>
                    </w:rPr>
                    <w:t>228</w:t>
                  </w:r>
                  <w:r w:rsidRPr="00921B3E">
                    <w:rPr>
                      <w:rFonts w:ascii="Arial" w:eastAsia="新細明體" w:hAnsi="Arial" w:cs="Arial"/>
                      <w:color w:val="333333"/>
                      <w:spacing w:val="15"/>
                      <w:kern w:val="0"/>
                      <w:sz w:val="23"/>
                      <w:szCs w:val="23"/>
                    </w:rPr>
                    <w:t>表一）。</w:t>
                  </w:r>
                </w:p>
              </w:tc>
            </w:tr>
          </w:tbl>
          <w:p w:rsidR="00921B3E" w:rsidRPr="00921B3E" w:rsidRDefault="00921B3E" w:rsidP="00921B3E">
            <w:pPr>
              <w:widowControl/>
              <w:rPr>
                <w:rFonts w:ascii="新細明體" w:eastAsia="新細明體" w:hAnsi="新細明體" w:cs="新細明體"/>
                <w:kern w:val="0"/>
                <w:szCs w:val="24"/>
              </w:rPr>
            </w:pPr>
          </w:p>
        </w:tc>
      </w:tr>
      <w:tr w:rsidR="00921B3E" w:rsidRPr="00921B3E" w:rsidTr="00921B3E">
        <w:trPr>
          <w:tblCellSpacing w:w="0" w:type="dxa"/>
        </w:trPr>
        <w:tc>
          <w:tcPr>
            <w:tcW w:w="0" w:type="auto"/>
            <w:hideMark/>
          </w:tcPr>
          <w:tbl>
            <w:tblPr>
              <w:tblW w:w="9150" w:type="dxa"/>
              <w:tblCellSpacing w:w="0" w:type="dxa"/>
              <w:tblCellMar>
                <w:left w:w="0" w:type="dxa"/>
                <w:right w:w="0" w:type="dxa"/>
              </w:tblCellMar>
              <w:tblLook w:val="04A0"/>
            </w:tblPr>
            <w:tblGrid>
              <w:gridCol w:w="9150"/>
            </w:tblGrid>
            <w:tr w:rsidR="00921B3E" w:rsidRPr="00921B3E">
              <w:trPr>
                <w:trHeight w:val="450"/>
                <w:tblCellSpacing w:w="0" w:type="dxa"/>
              </w:trPr>
              <w:tc>
                <w:tcPr>
                  <w:tcW w:w="8850" w:type="dxa"/>
                  <w:vAlign w:val="center"/>
                  <w:hideMark/>
                </w:tcPr>
                <w:tbl>
                  <w:tblPr>
                    <w:tblW w:w="5000" w:type="pct"/>
                    <w:tblCellSpacing w:w="0" w:type="dxa"/>
                    <w:tblCellMar>
                      <w:left w:w="0" w:type="dxa"/>
                      <w:right w:w="0" w:type="dxa"/>
                    </w:tblCellMar>
                    <w:tblLook w:val="04A0"/>
                  </w:tblPr>
                  <w:tblGrid>
                    <w:gridCol w:w="9150"/>
                  </w:tblGrid>
                  <w:tr w:rsidR="00921B3E" w:rsidRPr="00921B3E">
                    <w:trPr>
                      <w:tblCellSpacing w:w="0" w:type="dxa"/>
                    </w:trPr>
                    <w:tc>
                      <w:tcPr>
                        <w:tcW w:w="0" w:type="auto"/>
                        <w:vAlign w:val="bottom"/>
                        <w:hideMark/>
                      </w:tcPr>
                      <w:tbl>
                        <w:tblPr>
                          <w:tblW w:w="5000" w:type="pct"/>
                          <w:tblCellSpacing w:w="0" w:type="dxa"/>
                          <w:tblCellMar>
                            <w:left w:w="0" w:type="dxa"/>
                            <w:right w:w="0" w:type="dxa"/>
                          </w:tblCellMar>
                          <w:tblLook w:val="04A0"/>
                        </w:tblPr>
                        <w:tblGrid>
                          <w:gridCol w:w="9150"/>
                        </w:tblGrid>
                        <w:tr w:rsidR="00921B3E" w:rsidRPr="00921B3E">
                          <w:trPr>
                            <w:trHeight w:val="300"/>
                            <w:tblCellSpacing w:w="0" w:type="dxa"/>
                          </w:trPr>
                          <w:tc>
                            <w:tcPr>
                              <w:tcW w:w="0" w:type="auto"/>
                              <w:vAlign w:val="center"/>
                              <w:hideMark/>
                            </w:tcPr>
                            <w:p w:rsidR="00921B3E" w:rsidRPr="00921B3E" w:rsidRDefault="00921B3E" w:rsidP="00921B3E">
                              <w:pPr>
                                <w:widowControl/>
                                <w:rPr>
                                  <w:rFonts w:ascii="新細明體" w:eastAsia="新細明體" w:hAnsi="新細明體" w:cs="新細明體"/>
                                  <w:kern w:val="0"/>
                                  <w:szCs w:val="24"/>
                                </w:rPr>
                              </w:pPr>
                            </w:p>
                          </w:tc>
                        </w:tr>
                        <w:tr w:rsidR="00921B3E" w:rsidRPr="00921B3E">
                          <w:trPr>
                            <w:trHeight w:val="450"/>
                            <w:tblCellSpacing w:w="0" w:type="dxa"/>
                          </w:trPr>
                          <w:tc>
                            <w:tcPr>
                              <w:tcW w:w="0" w:type="auto"/>
                              <w:vAlign w:val="center"/>
                              <w:hideMark/>
                            </w:tcPr>
                            <w:p w:rsidR="00921B3E" w:rsidRPr="00921B3E" w:rsidRDefault="00921B3E" w:rsidP="00921B3E">
                              <w:pPr>
                                <w:widowControl/>
                                <w:rPr>
                                  <w:rFonts w:ascii="新細明體" w:eastAsia="新細明體" w:hAnsi="新細明體" w:cs="新細明體"/>
                                  <w:kern w:val="0"/>
                                  <w:szCs w:val="24"/>
                                </w:rPr>
                              </w:pPr>
                            </w:p>
                          </w:tc>
                        </w:tr>
                        <w:tr w:rsidR="00921B3E" w:rsidRPr="00921B3E">
                          <w:trPr>
                            <w:trHeight w:val="300"/>
                            <w:tblCellSpacing w:w="0" w:type="dxa"/>
                          </w:trPr>
                          <w:tc>
                            <w:tcPr>
                              <w:tcW w:w="0" w:type="auto"/>
                              <w:vAlign w:val="center"/>
                              <w:hideMark/>
                            </w:tcPr>
                            <w:p w:rsidR="00921B3E" w:rsidRPr="00921B3E" w:rsidRDefault="00921B3E" w:rsidP="00921B3E">
                              <w:pPr>
                                <w:widowControl/>
                                <w:rPr>
                                  <w:rFonts w:ascii="新細明體" w:eastAsia="新細明體" w:hAnsi="新細明體" w:cs="新細明體"/>
                                  <w:kern w:val="0"/>
                                  <w:szCs w:val="24"/>
                                </w:rPr>
                              </w:pPr>
                            </w:p>
                          </w:tc>
                        </w:tr>
                        <w:tr w:rsidR="00921B3E" w:rsidRPr="00921B3E">
                          <w:trPr>
                            <w:tblCellSpacing w:w="0" w:type="dxa"/>
                          </w:trPr>
                          <w:tc>
                            <w:tcPr>
                              <w:tcW w:w="0" w:type="auto"/>
                              <w:vAlign w:val="bottom"/>
                              <w:hideMark/>
                            </w:tcPr>
                            <w:p w:rsidR="00921B3E" w:rsidRPr="00921B3E" w:rsidRDefault="00921B3E" w:rsidP="00921B3E">
                              <w:pPr>
                                <w:widowControl/>
                                <w:rPr>
                                  <w:rFonts w:ascii="新細明體" w:eastAsia="新細明體" w:hAnsi="新細明體" w:cs="新細明體"/>
                                  <w:kern w:val="0"/>
                                  <w:szCs w:val="24"/>
                                </w:rPr>
                              </w:pPr>
                            </w:p>
                          </w:tc>
                        </w:tr>
                      </w:tbl>
                      <w:p w:rsidR="00921B3E" w:rsidRPr="00921B3E" w:rsidRDefault="00921B3E" w:rsidP="00921B3E">
                        <w:pPr>
                          <w:widowControl/>
                          <w:rPr>
                            <w:rFonts w:ascii="新細明體" w:eastAsia="新細明體" w:hAnsi="新細明體" w:cs="新細明體"/>
                            <w:kern w:val="0"/>
                            <w:szCs w:val="24"/>
                          </w:rPr>
                        </w:pPr>
                      </w:p>
                    </w:tc>
                  </w:tr>
                </w:tbl>
                <w:p w:rsidR="00921B3E" w:rsidRPr="00921B3E" w:rsidRDefault="00921B3E" w:rsidP="00921B3E">
                  <w:pPr>
                    <w:widowControl/>
                    <w:rPr>
                      <w:rFonts w:ascii="新細明體" w:eastAsia="新細明體" w:hAnsi="新細明體" w:cs="新細明體"/>
                      <w:kern w:val="0"/>
                      <w:szCs w:val="24"/>
                    </w:rPr>
                  </w:pPr>
                </w:p>
              </w:tc>
            </w:tr>
          </w:tbl>
          <w:p w:rsidR="00921B3E" w:rsidRPr="00921B3E" w:rsidRDefault="00921B3E" w:rsidP="00921B3E">
            <w:pPr>
              <w:widowControl/>
              <w:rPr>
                <w:rFonts w:ascii="新細明體" w:eastAsia="新細明體" w:hAnsi="新細明體" w:cs="新細明體"/>
                <w:kern w:val="0"/>
                <w:szCs w:val="24"/>
              </w:rPr>
            </w:pPr>
          </w:p>
        </w:tc>
      </w:tr>
      <w:tr w:rsidR="00921B3E" w:rsidRPr="00921B3E" w:rsidTr="00921B3E">
        <w:trPr>
          <w:tblCellSpacing w:w="0" w:type="dxa"/>
        </w:trPr>
        <w:tc>
          <w:tcPr>
            <w:tcW w:w="0" w:type="auto"/>
            <w:hideMark/>
          </w:tcPr>
          <w:p w:rsidR="00921B3E" w:rsidRPr="00921B3E" w:rsidRDefault="00921B3E" w:rsidP="00921B3E">
            <w:pPr>
              <w:widowControl/>
              <w:rPr>
                <w:rFonts w:ascii="新細明體" w:eastAsia="新細明體" w:hAnsi="新細明體" w:cs="新細明體"/>
                <w:kern w:val="0"/>
                <w:sz w:val="16"/>
                <w:szCs w:val="24"/>
              </w:rPr>
            </w:pPr>
          </w:p>
        </w:tc>
      </w:tr>
      <w:tr w:rsidR="00921B3E" w:rsidRPr="00921B3E" w:rsidTr="00921B3E">
        <w:trPr>
          <w:tblCellSpacing w:w="0" w:type="dxa"/>
        </w:trPr>
        <w:tc>
          <w:tcPr>
            <w:tcW w:w="0" w:type="auto"/>
            <w:hideMark/>
          </w:tcPr>
          <w:tbl>
            <w:tblPr>
              <w:tblW w:w="9150" w:type="dxa"/>
              <w:tblCellSpacing w:w="0" w:type="dxa"/>
              <w:tblCellMar>
                <w:left w:w="0" w:type="dxa"/>
                <w:right w:w="0" w:type="dxa"/>
              </w:tblCellMar>
              <w:tblLook w:val="04A0"/>
            </w:tblPr>
            <w:tblGrid>
              <w:gridCol w:w="300"/>
              <w:gridCol w:w="8850"/>
            </w:tblGrid>
            <w:tr w:rsidR="00921B3E" w:rsidRPr="00921B3E">
              <w:trPr>
                <w:tblCellSpacing w:w="0" w:type="dxa"/>
              </w:trPr>
              <w:tc>
                <w:tcPr>
                  <w:tcW w:w="300" w:type="dxa"/>
                  <w:vAlign w:val="center"/>
                  <w:hideMark/>
                </w:tcPr>
                <w:p w:rsidR="00921B3E" w:rsidRPr="00921B3E" w:rsidRDefault="00921B3E" w:rsidP="00921B3E">
                  <w:pPr>
                    <w:widowControl/>
                    <w:rPr>
                      <w:rFonts w:ascii="新細明體" w:eastAsia="新細明體" w:hAnsi="新細明體" w:cs="新細明體"/>
                      <w:kern w:val="0"/>
                      <w:szCs w:val="24"/>
                    </w:rPr>
                  </w:pPr>
                  <w:r w:rsidRPr="00921B3E">
                    <w:rPr>
                      <w:rFonts w:ascii="新細明體" w:eastAsia="新細明體" w:hAnsi="新細明體" w:cs="新細明體"/>
                      <w:kern w:val="0"/>
                      <w:szCs w:val="24"/>
                    </w:rPr>
                    <w:t> </w:t>
                  </w:r>
                </w:p>
              </w:tc>
              <w:tc>
                <w:tcPr>
                  <w:tcW w:w="0" w:type="auto"/>
                  <w:vAlign w:val="center"/>
                  <w:hideMark/>
                </w:tcPr>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中船基隆廠的大樓上，仍掛著數年前裝修的「同心協力求生存，創造新局救中船」標語。站在標語下，廠長黃宏志對外界看待中船翻身是靠海運景氣回升與拿員工開刀不以為然，強調「自助、人助（徐強）、天助（景氣）」才是中船起死回生的主因。</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「現在正是民營化的好時機，」中船總經理兼代理董事長范光男表示，「等到景氣不好時就太遲了，」由於再生成功，目前美商</w:t>
                  </w:r>
                  <w:r w:rsidRPr="00921B3E">
                    <w:rPr>
                      <w:rFonts w:ascii="Arial" w:eastAsia="新細明體" w:hAnsi="Arial" w:cs="Arial"/>
                      <w:color w:val="333333"/>
                      <w:spacing w:val="15"/>
                      <w:kern w:val="0"/>
                      <w:sz w:val="23"/>
                      <w:szCs w:val="23"/>
                    </w:rPr>
                    <w:t>MPH</w:t>
                  </w:r>
                  <w:r w:rsidRPr="00921B3E">
                    <w:rPr>
                      <w:rFonts w:ascii="Arial" w:eastAsia="新細明體" w:hAnsi="Arial" w:cs="Arial"/>
                      <w:color w:val="333333"/>
                      <w:spacing w:val="15"/>
                      <w:kern w:val="0"/>
                      <w:sz w:val="23"/>
                      <w:szCs w:val="23"/>
                    </w:rPr>
                    <w:t>、港資中國航運和本土的長榮、陽明、萬海、中信等集團都表達了投資意願，加上國營會的支持，預計今年底將售出</w:t>
                  </w:r>
                  <w:r w:rsidRPr="00921B3E">
                    <w:rPr>
                      <w:rFonts w:ascii="Arial" w:eastAsia="新細明體" w:hAnsi="Arial" w:cs="Arial"/>
                      <w:color w:val="333333"/>
                      <w:spacing w:val="15"/>
                      <w:kern w:val="0"/>
                      <w:sz w:val="23"/>
                      <w:szCs w:val="23"/>
                    </w:rPr>
                    <w:t>51</w:t>
                  </w:r>
                  <w:r w:rsidRPr="00921B3E">
                    <w:rPr>
                      <w:rFonts w:ascii="Arial" w:eastAsia="新細明體" w:hAnsi="Arial" w:cs="Arial"/>
                      <w:color w:val="333333"/>
                      <w:spacing w:val="15"/>
                      <w:kern w:val="0"/>
                      <w:sz w:val="23"/>
                      <w:szCs w:val="23"/>
                    </w:rPr>
                    <w:t>％至</w:t>
                  </w:r>
                  <w:r w:rsidRPr="00921B3E">
                    <w:rPr>
                      <w:rFonts w:ascii="Arial" w:eastAsia="新細明體" w:hAnsi="Arial" w:cs="Arial"/>
                      <w:color w:val="333333"/>
                      <w:spacing w:val="15"/>
                      <w:kern w:val="0"/>
                      <w:sz w:val="23"/>
                      <w:szCs w:val="23"/>
                    </w:rPr>
                    <w:t>66</w:t>
                  </w:r>
                  <w:r w:rsidRPr="00921B3E">
                    <w:rPr>
                      <w:rFonts w:ascii="Arial" w:eastAsia="新細明體" w:hAnsi="Arial" w:cs="Arial"/>
                      <w:color w:val="333333"/>
                      <w:spacing w:val="15"/>
                      <w:kern w:val="0"/>
                      <w:sz w:val="23"/>
                      <w:szCs w:val="23"/>
                    </w:rPr>
                    <w:t>％的股權完成民營化。</w:t>
                  </w:r>
                </w:p>
                <w:p w:rsidR="00921B3E" w:rsidRPr="00921B3E" w:rsidRDefault="00921B3E" w:rsidP="00921B3E">
                  <w:pPr>
                    <w:widowControl/>
                    <w:spacing w:line="300" w:lineRule="atLeast"/>
                    <w:rPr>
                      <w:rFonts w:ascii="Arial" w:eastAsia="新細明體" w:hAnsi="Arial" w:cs="Arial"/>
                      <w:color w:val="333333"/>
                      <w:spacing w:val="15"/>
                      <w:kern w:val="0"/>
                      <w:sz w:val="20"/>
                      <w:szCs w:val="20"/>
                    </w:rPr>
                  </w:pPr>
                  <w:r w:rsidRPr="00921B3E">
                    <w:rPr>
                      <w:rFonts w:ascii="Arial" w:eastAsia="新細明體" w:hAnsi="Arial" w:cs="Arial"/>
                      <w:color w:val="333333"/>
                      <w:spacing w:val="15"/>
                      <w:kern w:val="0"/>
                      <w:sz w:val="20"/>
                      <w:szCs w:val="20"/>
                    </w:rPr>
                    <w:br/>
                  </w:r>
                  <w:r w:rsidRPr="00921B3E">
                    <w:rPr>
                      <w:rFonts w:ascii="Arial" w:eastAsia="新細明體" w:hAnsi="Arial" w:cs="Arial"/>
                      <w:b/>
                      <w:bCs/>
                      <w:color w:val="333333"/>
                      <w:spacing w:val="15"/>
                      <w:kern w:val="0"/>
                      <w:sz w:val="23"/>
                      <w:szCs w:val="23"/>
                    </w:rPr>
                    <w:t>苦幹三年，不抵一月匯損</w:t>
                  </w:r>
                  <w:r w:rsidRPr="00921B3E">
                    <w:rPr>
                      <w:rFonts w:ascii="Arial" w:eastAsia="新細明體" w:hAnsi="Arial" w:cs="Arial"/>
                      <w:color w:val="333333"/>
                      <w:spacing w:val="15"/>
                      <w:kern w:val="0"/>
                      <w:sz w:val="20"/>
                      <w:szCs w:val="20"/>
                    </w:rPr>
                    <w:t xml:space="preserve"> </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然而，這得來不易的成功，卻面臨匯差和原物料上漲的大浪襲擊。連續三年獲利，去年更創下八年來最佳獲利紀錄的中船，因為接單時以美元計價，</w:t>
                  </w:r>
                  <w:r w:rsidRPr="00921B3E">
                    <w:rPr>
                      <w:rFonts w:ascii="Arial" w:eastAsia="新細明體" w:hAnsi="Arial" w:cs="Arial"/>
                      <w:color w:val="333333"/>
                      <w:spacing w:val="15"/>
                      <w:kern w:val="0"/>
                      <w:sz w:val="23"/>
                      <w:szCs w:val="23"/>
                    </w:rPr>
                    <w:t>2005</w:t>
                  </w:r>
                  <w:r w:rsidRPr="00921B3E">
                    <w:rPr>
                      <w:rFonts w:ascii="Arial" w:eastAsia="新細明體" w:hAnsi="Arial" w:cs="Arial"/>
                      <w:color w:val="333333"/>
                      <w:spacing w:val="15"/>
                      <w:kern w:val="0"/>
                      <w:sz w:val="23"/>
                      <w:szCs w:val="23"/>
                    </w:rPr>
                    <w:t>年造船平均簽約的美元匯率為新台幣</w:t>
                  </w:r>
                  <w:r w:rsidRPr="00921B3E">
                    <w:rPr>
                      <w:rFonts w:ascii="Arial" w:eastAsia="新細明體" w:hAnsi="Arial" w:cs="Arial"/>
                      <w:color w:val="333333"/>
                      <w:spacing w:val="15"/>
                      <w:kern w:val="0"/>
                      <w:sz w:val="23"/>
                      <w:szCs w:val="23"/>
                    </w:rPr>
                    <w:t>34</w:t>
                  </w:r>
                  <w:r w:rsidRPr="00921B3E">
                    <w:rPr>
                      <w:rFonts w:ascii="Arial" w:eastAsia="新細明體" w:hAnsi="Arial" w:cs="Arial"/>
                      <w:color w:val="333333"/>
                      <w:spacing w:val="15"/>
                      <w:kern w:val="0"/>
                      <w:sz w:val="23"/>
                      <w:szCs w:val="23"/>
                    </w:rPr>
                    <w:t>元，面臨現今升破新台幣</w:t>
                  </w:r>
                  <w:r w:rsidRPr="00921B3E">
                    <w:rPr>
                      <w:rFonts w:ascii="Arial" w:eastAsia="新細明體" w:hAnsi="Arial" w:cs="Arial"/>
                      <w:color w:val="333333"/>
                      <w:spacing w:val="15"/>
                      <w:kern w:val="0"/>
                      <w:sz w:val="23"/>
                      <w:szCs w:val="23"/>
                    </w:rPr>
                    <w:t>31</w:t>
                  </w:r>
                  <w:r w:rsidRPr="00921B3E">
                    <w:rPr>
                      <w:rFonts w:ascii="Arial" w:eastAsia="新細明體" w:hAnsi="Arial" w:cs="Arial"/>
                      <w:color w:val="333333"/>
                      <w:spacing w:val="15"/>
                      <w:kern w:val="0"/>
                      <w:sz w:val="23"/>
                      <w:szCs w:val="23"/>
                    </w:rPr>
                    <w:t>元壓力的中船，帳面營收將因此短少</w:t>
                  </w:r>
                  <w:r w:rsidRPr="00921B3E">
                    <w:rPr>
                      <w:rFonts w:ascii="Arial" w:eastAsia="新細明體" w:hAnsi="Arial" w:cs="Arial"/>
                      <w:color w:val="333333"/>
                      <w:spacing w:val="15"/>
                      <w:kern w:val="0"/>
                      <w:sz w:val="23"/>
                      <w:szCs w:val="23"/>
                    </w:rPr>
                    <w:t>17</w:t>
                  </w:r>
                  <w:r w:rsidRPr="00921B3E">
                    <w:rPr>
                      <w:rFonts w:ascii="Arial" w:eastAsia="新細明體" w:hAnsi="Arial" w:cs="Arial"/>
                      <w:color w:val="333333"/>
                      <w:spacing w:val="15"/>
                      <w:kern w:val="0"/>
                      <w:sz w:val="23"/>
                      <w:szCs w:val="23"/>
                    </w:rPr>
                    <w:t>億元，甚至有媒體大膽預測，中船將因此賠光三年來的累積盈餘。中船方面表示，外在因素難以克服，只能在成本和效率上著手，「員工苦幹三年，抵不過一個月的匯率波動，」課長王先至無奈地說。</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國營事業中，中船是國際競爭壓力最大，也最受景氣影響的企業。好比過去</w:t>
                  </w:r>
                  <w:r w:rsidRPr="00921B3E">
                    <w:rPr>
                      <w:rFonts w:ascii="Arial" w:eastAsia="新細明體" w:hAnsi="Arial" w:cs="Arial"/>
                      <w:color w:val="333333"/>
                      <w:spacing w:val="15"/>
                      <w:kern w:val="0"/>
                      <w:sz w:val="23"/>
                      <w:szCs w:val="23"/>
                    </w:rPr>
                    <w:lastRenderedPageBreak/>
                    <w:t>一年間鋼價飆漲了六成，對每年需用二十萬公噸的鋼板，購料成本占總成本</w:t>
                  </w:r>
                  <w:r w:rsidRPr="00921B3E">
                    <w:rPr>
                      <w:rFonts w:ascii="Arial" w:eastAsia="新細明體" w:hAnsi="Arial" w:cs="Arial"/>
                      <w:color w:val="333333"/>
                      <w:spacing w:val="15"/>
                      <w:kern w:val="0"/>
                      <w:sz w:val="23"/>
                      <w:szCs w:val="23"/>
                    </w:rPr>
                    <w:t>40</w:t>
                  </w:r>
                  <w:r w:rsidRPr="00921B3E">
                    <w:rPr>
                      <w:rFonts w:ascii="Arial" w:eastAsia="新細明體" w:hAnsi="Arial" w:cs="Arial"/>
                      <w:color w:val="333333"/>
                      <w:spacing w:val="15"/>
                      <w:kern w:val="0"/>
                      <w:sz w:val="23"/>
                      <w:szCs w:val="23"/>
                    </w:rPr>
                    <w:t>％的中船來說，無異雪上加霜。更糟的是，不製造船的心臟</w:t>
                  </w:r>
                  <w:r w:rsidRPr="00921B3E">
                    <w:rPr>
                      <w:rFonts w:ascii="Arial" w:eastAsia="新細明體" w:hAnsi="Arial" w:cs="Arial"/>
                      <w:color w:val="333333"/>
                      <w:spacing w:val="15"/>
                      <w:kern w:val="0"/>
                      <w:sz w:val="23"/>
                      <w:szCs w:val="23"/>
                    </w:rPr>
                    <w:t>——</w:t>
                  </w:r>
                  <w:r w:rsidRPr="00921B3E">
                    <w:rPr>
                      <w:rFonts w:ascii="Arial" w:eastAsia="新細明體" w:hAnsi="Arial" w:cs="Arial"/>
                      <w:color w:val="333333"/>
                      <w:spacing w:val="15"/>
                      <w:kern w:val="0"/>
                      <w:sz w:val="23"/>
                      <w:szCs w:val="23"/>
                    </w:rPr>
                    <w:t>「主機」的中船，更面臨主機價格大幅成長</w:t>
                  </w:r>
                  <w:r w:rsidRPr="00921B3E">
                    <w:rPr>
                      <w:rFonts w:ascii="Arial" w:eastAsia="新細明體" w:hAnsi="Arial" w:cs="Arial"/>
                      <w:color w:val="333333"/>
                      <w:spacing w:val="15"/>
                      <w:kern w:val="0"/>
                      <w:sz w:val="23"/>
                      <w:szCs w:val="23"/>
                    </w:rPr>
                    <w:t>30</w:t>
                  </w:r>
                  <w:r w:rsidRPr="00921B3E">
                    <w:rPr>
                      <w:rFonts w:ascii="Arial" w:eastAsia="新細明體" w:hAnsi="Arial" w:cs="Arial"/>
                      <w:color w:val="333333"/>
                      <w:spacing w:val="15"/>
                      <w:kern w:val="0"/>
                      <w:sz w:val="23"/>
                      <w:szCs w:val="23"/>
                    </w:rPr>
                    <w:t>％的壓力。</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沒有製造主機的核心技術，加上沒有台機公司等周邊廠協力，中船只能淪為『配裝廠』，」觀察中船長達三十年的知情人士擔心，配裝不僅需要便宜材料，更需廉價勞力，在擁有原料與廉價勞力的大陸造船廠崛起之際，沒有核心技術的中船前景堪慮，「況且有主機製造能力的韓國，第一優先當然是支持韓國廠，中船只能任人宰割。」中船員工也語帶無奈：「現在我們甚至得先等韓國同意賣主機，才敢接單。」</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困窘的是，技術斷層卻是中船的罩門。因為再生計畫不僅使許多優秀人才主動求去，在遇缺不補加上薪資低的情況下，新血更無法流入中船。「放眼望去，不是白頭就是禿頭，」徐強感歎，員工平均年齡四十七歲的中船，期待民營化能放寬用人限制，也吸引外國人才加入陣營。</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然而，問題卻在台灣的造船專家後繼無人。一來因為過去設有造船系的台大、成大、海大早已紛紛縮編甚至改名；二來艱苦、骯髒、危險的工作，讓年輕人避之唯恐不及，「前一陣子來了三個海大學生，現在已走了兩個，有一個還是來一天就走掉的，」在中船有三十年資歷的機電基礎技術人員陳兩榮搖頭歎息。</w:t>
                  </w:r>
                </w:p>
                <w:p w:rsidR="00921B3E" w:rsidRPr="00921B3E" w:rsidRDefault="00921B3E" w:rsidP="00921B3E">
                  <w:pPr>
                    <w:widowControl/>
                    <w:spacing w:line="300" w:lineRule="atLeast"/>
                    <w:rPr>
                      <w:rFonts w:ascii="Arial" w:eastAsia="新細明體" w:hAnsi="Arial" w:cs="Arial"/>
                      <w:color w:val="333333"/>
                      <w:spacing w:val="15"/>
                      <w:kern w:val="0"/>
                      <w:sz w:val="20"/>
                      <w:szCs w:val="20"/>
                    </w:rPr>
                  </w:pPr>
                  <w:r w:rsidRPr="00921B3E">
                    <w:rPr>
                      <w:rFonts w:ascii="Arial" w:eastAsia="新細明體" w:hAnsi="Arial" w:cs="Arial"/>
                      <w:color w:val="333333"/>
                      <w:spacing w:val="15"/>
                      <w:kern w:val="0"/>
                      <w:sz w:val="20"/>
                      <w:szCs w:val="20"/>
                    </w:rPr>
                    <w:br/>
                  </w:r>
                  <w:r w:rsidRPr="00921B3E">
                    <w:rPr>
                      <w:rFonts w:ascii="Arial" w:eastAsia="新細明體" w:hAnsi="Arial" w:cs="Arial"/>
                      <w:b/>
                      <w:bCs/>
                      <w:color w:val="333333"/>
                      <w:spacing w:val="15"/>
                      <w:kern w:val="0"/>
                      <w:sz w:val="23"/>
                      <w:szCs w:val="23"/>
                    </w:rPr>
                    <w:lastRenderedPageBreak/>
                    <w:t>政策反覆，民營關卡重重</w:t>
                  </w:r>
                  <w:r w:rsidRPr="00921B3E">
                    <w:rPr>
                      <w:rFonts w:ascii="Arial" w:eastAsia="新細明體" w:hAnsi="Arial" w:cs="Arial"/>
                      <w:color w:val="333333"/>
                      <w:spacing w:val="15"/>
                      <w:kern w:val="0"/>
                      <w:sz w:val="20"/>
                      <w:szCs w:val="20"/>
                    </w:rPr>
                    <w:t xml:space="preserve"> </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人才短缺，與政策搖擺不定息息相關。「當初政府在草擬海洋政策綱領時，竟然忘了把造船業列入，我還寫信去抗議，」徐強點出政府長期以來漠視造船業的態度，「上帝就是把台灣放在海洋中，能不重視嗎？」</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屬十大建設的中船，反映了當初的時代背景。因為對開發中國家來說，造船業不僅是吸引外匯及邁向工業化的入門產業，更能帶動無數相關產業的發展。</w:t>
                  </w:r>
                  <w:r w:rsidRPr="00921B3E">
                    <w:rPr>
                      <w:rFonts w:ascii="Arial" w:eastAsia="新細明體" w:hAnsi="Arial" w:cs="Arial"/>
                      <w:color w:val="333333"/>
                      <w:spacing w:val="15"/>
                      <w:kern w:val="0"/>
                      <w:sz w:val="23"/>
                      <w:szCs w:val="23"/>
                    </w:rPr>
                    <w:t xml:space="preserve"> </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然而，造船就跟台灣曾稱霸全球的洋傘、玩具等勞力密集產業一樣，隨著產業轉型而式微。但造船業不像其他產業般說外移就能移，所以許多已開發國家仍保有自己的造船產業，並列為國防產業的一環，美國就是最好的例子。立法院財政委員會立委蔡其昌表示，政府巨額的軍購，其中有些部分應該用在輔導本土國防工業的興起，他舉半導體設備業的處境為例，「台灣半導體大廠跟台灣半導體設備廠，最近的距離竟是美國，產品都需經美國的認可。」</w:t>
                  </w:r>
                </w:p>
              </w:tc>
            </w:tr>
          </w:tbl>
          <w:p w:rsidR="00921B3E" w:rsidRPr="00921B3E" w:rsidRDefault="00921B3E" w:rsidP="00921B3E">
            <w:pPr>
              <w:widowControl/>
              <w:rPr>
                <w:rFonts w:ascii="新細明體" w:eastAsia="新細明體" w:hAnsi="新細明體" w:cs="新細明體"/>
                <w:kern w:val="0"/>
                <w:szCs w:val="24"/>
              </w:rPr>
            </w:pPr>
          </w:p>
        </w:tc>
      </w:tr>
    </w:tbl>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lastRenderedPageBreak/>
        <w:t>然而，政府對政策的反覆，讓中船遲遲找不到定位。最近的一次，是</w:t>
      </w:r>
      <w:r w:rsidRPr="00921B3E">
        <w:rPr>
          <w:rFonts w:ascii="Arial" w:eastAsia="新細明體" w:hAnsi="Arial" w:cs="Arial"/>
          <w:color w:val="333333"/>
          <w:spacing w:val="15"/>
          <w:kern w:val="0"/>
          <w:sz w:val="23"/>
          <w:szCs w:val="23"/>
        </w:rPr>
        <w:t>2003</w:t>
      </w:r>
      <w:r w:rsidRPr="00921B3E">
        <w:rPr>
          <w:rFonts w:ascii="Arial" w:eastAsia="新細明體" w:hAnsi="Arial" w:cs="Arial"/>
          <w:color w:val="333333"/>
          <w:spacing w:val="15"/>
          <w:kern w:val="0"/>
          <w:sz w:val="23"/>
          <w:szCs w:val="23"/>
        </w:rPr>
        <w:t>年陳水扁帶媒體下鄉時大聲疾呼支持「潛艦國造」，結果在美國願意出售潛艦後，陳水扁馬上改口說：「我們研發這樣的技術，是要成為亞洲或全球潛艦製造中心嗎？」當初支持中船的國防部也跟進表示：「中船只能電焊，欠缺設計品管測試，只會變成下一個漢翔（漢翔自製經國號戰機後，便面臨生產線停擺的難題）！」至今中船潛心製造的潛艇船體，仍深鎖在倉庫中，靜靜地被灰塵覆蓋著。</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「政府買不到，花再多錢都會支持，買得到就不管了，」一位官員悻悻然表示，「沒有政策的支持，身為國營事業的中船哪也去不成。」</w:t>
      </w:r>
    </w:p>
    <w:p w:rsidR="00921B3E" w:rsidRPr="00921B3E" w:rsidRDefault="00921B3E" w:rsidP="00921B3E">
      <w:pPr>
        <w:widowControl/>
        <w:spacing w:line="300" w:lineRule="atLeast"/>
        <w:rPr>
          <w:rFonts w:ascii="Arial" w:eastAsia="新細明體" w:hAnsi="Arial" w:cs="Arial"/>
          <w:color w:val="333333"/>
          <w:spacing w:val="15"/>
          <w:kern w:val="0"/>
          <w:sz w:val="20"/>
          <w:szCs w:val="20"/>
        </w:rPr>
      </w:pPr>
      <w:r w:rsidRPr="00921B3E">
        <w:rPr>
          <w:rFonts w:ascii="Arial" w:eastAsia="新細明體" w:hAnsi="Arial" w:cs="Arial"/>
          <w:color w:val="333333"/>
          <w:spacing w:val="15"/>
          <w:kern w:val="0"/>
          <w:sz w:val="20"/>
          <w:szCs w:val="20"/>
        </w:rPr>
        <w:lastRenderedPageBreak/>
        <w:br/>
      </w:r>
      <w:r w:rsidRPr="00921B3E">
        <w:rPr>
          <w:rFonts w:ascii="Arial" w:eastAsia="新細明體" w:hAnsi="Arial" w:cs="Arial"/>
          <w:b/>
          <w:bCs/>
          <w:color w:val="333333"/>
          <w:spacing w:val="15"/>
          <w:kern w:val="0"/>
          <w:sz w:val="23"/>
          <w:szCs w:val="23"/>
        </w:rPr>
        <w:t>民營化，政府準備好了嗎？</w:t>
      </w:r>
      <w:r w:rsidRPr="00921B3E">
        <w:rPr>
          <w:rFonts w:ascii="Arial" w:eastAsia="新細明體" w:hAnsi="Arial" w:cs="Arial"/>
          <w:color w:val="333333"/>
          <w:spacing w:val="15"/>
          <w:kern w:val="0"/>
          <w:sz w:val="20"/>
          <w:szCs w:val="20"/>
        </w:rPr>
        <w:t xml:space="preserve"> </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民營化成了中船人盼望的曙光。歷經再生的磨難，中船工會成為少數國營事業中，對民營化反彈較少的工會。但是中船董事李銘傳卻不得不問，「中船人準備好了，但是政府準備好了嗎？」去年本來要民營的中船，卻因為民營化方案延遲通過而跳票，今年即將捲土重來。</w:t>
      </w:r>
    </w:p>
    <w:p w:rsidR="00921B3E" w:rsidRPr="00921B3E" w:rsidRDefault="00921B3E" w:rsidP="00921B3E">
      <w:pPr>
        <w:widowControl/>
        <w:spacing w:before="100" w:beforeAutospacing="1" w:after="100" w:afterAutospacing="1" w:line="360" w:lineRule="atLeast"/>
        <w:rPr>
          <w:rFonts w:ascii="Arial" w:eastAsia="新細明體" w:hAnsi="Arial" w:cs="Arial"/>
          <w:color w:val="333333"/>
          <w:spacing w:val="15"/>
          <w:kern w:val="0"/>
          <w:sz w:val="23"/>
          <w:szCs w:val="23"/>
        </w:rPr>
      </w:pPr>
      <w:r w:rsidRPr="00921B3E">
        <w:rPr>
          <w:rFonts w:ascii="Arial" w:eastAsia="新細明體" w:hAnsi="Arial" w:cs="Arial"/>
          <w:color w:val="333333"/>
          <w:spacing w:val="15"/>
          <w:kern w:val="0"/>
          <w:sz w:val="23"/>
          <w:szCs w:val="23"/>
        </w:rPr>
        <w:t>     </w:t>
      </w:r>
      <w:r w:rsidRPr="00921B3E">
        <w:rPr>
          <w:rFonts w:ascii="Arial" w:eastAsia="新細明體" w:hAnsi="Arial" w:cs="Arial"/>
          <w:color w:val="333333"/>
          <w:spacing w:val="15"/>
          <w:kern w:val="0"/>
          <w:sz w:val="23"/>
          <w:szCs w:val="23"/>
        </w:rPr>
        <w:t>「中船民營化太複雜了，況且中船負債比還那麼高，」一位經濟部官員直言，「要完成民營化，很難。」（見表二）對此，經濟部國營會副主委吳國棟表示將先為中船減資再增資，並將明年</w:t>
      </w:r>
      <w:r w:rsidRPr="00921B3E">
        <w:rPr>
          <w:rFonts w:ascii="Arial" w:eastAsia="新細明體" w:hAnsi="Arial" w:cs="Arial"/>
          <w:color w:val="333333"/>
          <w:spacing w:val="15"/>
          <w:kern w:val="0"/>
          <w:sz w:val="23"/>
          <w:szCs w:val="23"/>
        </w:rPr>
        <w:t>6</w:t>
      </w:r>
      <w:r w:rsidRPr="00921B3E">
        <w:rPr>
          <w:rFonts w:ascii="Arial" w:eastAsia="新細明體" w:hAnsi="Arial" w:cs="Arial"/>
          <w:color w:val="333333"/>
          <w:spacing w:val="15"/>
          <w:kern w:val="0"/>
          <w:sz w:val="23"/>
          <w:szCs w:val="23"/>
        </w:rPr>
        <w:t>月民營化進程提前至今年底，「擔心民營化是當然的，但我會這樣安慰他們：國營會比你們還擔心民營化，國營事業都民營了，我們不就都失業了嗎？」他話鋒一轉，「問題是願不願意看見未來，中船愈早民營化，才能愈早有國際競爭力。」</w:t>
      </w:r>
    </w:p>
    <w:p w:rsidR="00A47A35" w:rsidRPr="00921B3E" w:rsidRDefault="00A47A35"/>
    <w:sectPr w:rsidR="00A47A35" w:rsidRPr="00921B3E" w:rsidSect="00B23192">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7C0" w:rsidRDefault="007017C0" w:rsidP="00B23192">
      <w:r>
        <w:separator/>
      </w:r>
    </w:p>
  </w:endnote>
  <w:endnote w:type="continuationSeparator" w:id="1">
    <w:p w:rsidR="007017C0" w:rsidRDefault="007017C0" w:rsidP="00B23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7C0" w:rsidRDefault="007017C0" w:rsidP="00B23192">
      <w:r>
        <w:separator/>
      </w:r>
    </w:p>
  </w:footnote>
  <w:footnote w:type="continuationSeparator" w:id="1">
    <w:p w:rsidR="007017C0" w:rsidRDefault="007017C0" w:rsidP="00B23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B3E"/>
    <w:rsid w:val="00373424"/>
    <w:rsid w:val="0043453D"/>
    <w:rsid w:val="00576F45"/>
    <w:rsid w:val="007017C0"/>
    <w:rsid w:val="00921B3E"/>
    <w:rsid w:val="00A47A35"/>
    <w:rsid w:val="00B23192"/>
    <w:rsid w:val="00D20842"/>
    <w:rsid w:val="00E659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3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5">
    <w:name w:val="text5"/>
    <w:basedOn w:val="a"/>
    <w:rsid w:val="00921B3E"/>
    <w:pPr>
      <w:widowControl/>
      <w:spacing w:before="100" w:beforeAutospacing="1" w:after="100" w:afterAutospacing="1" w:line="360" w:lineRule="atLeast"/>
    </w:pPr>
    <w:rPr>
      <w:rFonts w:ascii="Arial" w:eastAsia="新細明體" w:hAnsi="Arial" w:cs="Arial"/>
      <w:color w:val="333333"/>
      <w:spacing w:val="15"/>
      <w:kern w:val="0"/>
      <w:sz w:val="23"/>
      <w:szCs w:val="23"/>
    </w:rPr>
  </w:style>
  <w:style w:type="character" w:customStyle="1" w:styleId="text21">
    <w:name w:val="text21"/>
    <w:basedOn w:val="a0"/>
    <w:rsid w:val="00921B3E"/>
    <w:rPr>
      <w:rFonts w:ascii="Arial" w:hAnsi="Arial" w:cs="Arial" w:hint="default"/>
      <w:b w:val="0"/>
      <w:bCs w:val="0"/>
      <w:i w:val="0"/>
      <w:iCs w:val="0"/>
      <w:strike w:val="0"/>
      <w:dstrike w:val="0"/>
      <w:color w:val="298BCE"/>
      <w:spacing w:val="15"/>
      <w:sz w:val="20"/>
      <w:szCs w:val="20"/>
      <w:u w:val="none"/>
      <w:effect w:val="none"/>
    </w:rPr>
  </w:style>
  <w:style w:type="character" w:customStyle="1" w:styleId="text41">
    <w:name w:val="text41"/>
    <w:basedOn w:val="a0"/>
    <w:rsid w:val="00921B3E"/>
    <w:rPr>
      <w:rFonts w:ascii="Arial" w:hAnsi="Arial" w:cs="Arial" w:hint="default"/>
      <w:b w:val="0"/>
      <w:bCs w:val="0"/>
      <w:i w:val="0"/>
      <w:iCs w:val="0"/>
      <w:strike w:val="0"/>
      <w:dstrike w:val="0"/>
      <w:color w:val="666666"/>
      <w:spacing w:val="15"/>
      <w:sz w:val="20"/>
      <w:szCs w:val="20"/>
      <w:u w:val="none"/>
      <w:effect w:val="none"/>
    </w:rPr>
  </w:style>
  <w:style w:type="character" w:customStyle="1" w:styleId="text51">
    <w:name w:val="text51"/>
    <w:basedOn w:val="a0"/>
    <w:rsid w:val="00921B3E"/>
    <w:rPr>
      <w:rFonts w:ascii="Arial" w:hAnsi="Arial" w:cs="Arial" w:hint="default"/>
      <w:b w:val="0"/>
      <w:bCs w:val="0"/>
      <w:i w:val="0"/>
      <w:iCs w:val="0"/>
      <w:strike w:val="0"/>
      <w:dstrike w:val="0"/>
      <w:color w:val="333333"/>
      <w:spacing w:val="15"/>
      <w:sz w:val="23"/>
      <w:szCs w:val="23"/>
      <w:u w:val="none"/>
      <w:effect w:val="none"/>
    </w:rPr>
  </w:style>
  <w:style w:type="paragraph" w:styleId="a3">
    <w:name w:val="header"/>
    <w:basedOn w:val="a"/>
    <w:link w:val="a4"/>
    <w:uiPriority w:val="99"/>
    <w:semiHidden/>
    <w:unhideWhenUsed/>
    <w:rsid w:val="00B23192"/>
    <w:pPr>
      <w:tabs>
        <w:tab w:val="center" w:pos="4153"/>
        <w:tab w:val="right" w:pos="8306"/>
      </w:tabs>
      <w:snapToGrid w:val="0"/>
    </w:pPr>
    <w:rPr>
      <w:sz w:val="20"/>
      <w:szCs w:val="20"/>
    </w:rPr>
  </w:style>
  <w:style w:type="character" w:customStyle="1" w:styleId="a4">
    <w:name w:val="頁首 字元"/>
    <w:basedOn w:val="a0"/>
    <w:link w:val="a3"/>
    <w:uiPriority w:val="99"/>
    <w:semiHidden/>
    <w:rsid w:val="00B23192"/>
    <w:rPr>
      <w:sz w:val="20"/>
      <w:szCs w:val="20"/>
    </w:rPr>
  </w:style>
  <w:style w:type="paragraph" w:styleId="a5">
    <w:name w:val="footer"/>
    <w:basedOn w:val="a"/>
    <w:link w:val="a6"/>
    <w:uiPriority w:val="99"/>
    <w:semiHidden/>
    <w:unhideWhenUsed/>
    <w:rsid w:val="00B23192"/>
    <w:pPr>
      <w:tabs>
        <w:tab w:val="center" w:pos="4153"/>
        <w:tab w:val="right" w:pos="8306"/>
      </w:tabs>
      <w:snapToGrid w:val="0"/>
    </w:pPr>
    <w:rPr>
      <w:sz w:val="20"/>
      <w:szCs w:val="20"/>
    </w:rPr>
  </w:style>
  <w:style w:type="character" w:customStyle="1" w:styleId="a6">
    <w:name w:val="頁尾 字元"/>
    <w:basedOn w:val="a0"/>
    <w:link w:val="a5"/>
    <w:uiPriority w:val="99"/>
    <w:semiHidden/>
    <w:rsid w:val="00B2319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582</Words>
  <Characters>3322</Characters>
  <Application>Microsoft Office Word</Application>
  <DocSecurity>0</DocSecurity>
  <Lines>27</Lines>
  <Paragraphs>7</Paragraphs>
  <ScaleCrop>false</ScaleCrop>
  <Company>Your Company Name</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2011-06-02T11:57:00Z</dcterms:created>
  <dcterms:modified xsi:type="dcterms:W3CDTF">2011-06-02T12:08:00Z</dcterms:modified>
</cp:coreProperties>
</file>